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3"/>
        <w:gridCol w:w="2527"/>
        <w:gridCol w:w="2700"/>
        <w:gridCol w:w="2700"/>
      </w:tblGrid>
      <w:tr w:rsidR="00CA09D0" w14:paraId="2E4E927C" w14:textId="77777777" w:rsidTr="004771A1">
        <w:trPr>
          <w:jc w:val="center"/>
        </w:trPr>
        <w:tc>
          <w:tcPr>
            <w:tcW w:w="10800" w:type="dxa"/>
            <w:gridSpan w:val="4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FA3C" w14:textId="77777777" w:rsidR="00CA09D0" w:rsidRDefault="00CA09D0" w:rsidP="004771A1">
            <w:pPr>
              <w:pStyle w:val="Standard"/>
              <w:spacing w:after="0" w:line="240" w:lineRule="auto"/>
              <w:ind w:left="-720"/>
              <w:jc w:val="center"/>
            </w:pPr>
            <w:r>
              <w:rPr>
                <w:rFonts w:ascii="Roboto Black" w:hAnsi="Roboto Black"/>
                <w:sz w:val="28"/>
              </w:rPr>
              <w:t>Housing Community Plan – Affordable Housing</w:t>
            </w:r>
          </w:p>
        </w:tc>
      </w:tr>
      <w:tr w:rsidR="00CA09D0" w14:paraId="61FA23D8" w14:textId="77777777" w:rsidTr="00370C27">
        <w:trPr>
          <w:trHeight w:val="8189"/>
          <w:jc w:val="center"/>
        </w:trPr>
        <w:tc>
          <w:tcPr>
            <w:tcW w:w="5400" w:type="dxa"/>
            <w:gridSpan w:val="2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6BDA" w14:textId="454EEF37" w:rsidR="00CA09D0" w:rsidRDefault="00CA09D0" w:rsidP="004771A1">
            <w:pPr>
              <w:pStyle w:val="Standard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Objective(s):</w:t>
            </w:r>
          </w:p>
          <w:p w14:paraId="4D1DF2D1" w14:textId="77777777" w:rsidR="00CA09D0" w:rsidRDefault="00CA09D0" w:rsidP="001C389A">
            <w:pPr>
              <w:pStyle w:val="ListParagraph"/>
              <w:spacing w:after="0" w:line="240" w:lineRule="auto"/>
              <w:rPr>
                <w:rFonts w:ascii="Roboto" w:hAnsi="Roboto"/>
                <w:b/>
                <w:bCs/>
                <w:color w:val="FF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1971" w14:textId="77777777" w:rsidR="00CA09D0" w:rsidRDefault="00CA09D0" w:rsidP="00CA09D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By 2028, increase supply of affordable rental housing for households at 30-60%AMI by 1,500 new units.</w:t>
            </w:r>
          </w:p>
          <w:p w14:paraId="3F51AB8A" w14:textId="77777777" w:rsidR="00CA09D0" w:rsidRDefault="00CA09D0" w:rsidP="00CA0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51" w:firstLine="0"/>
            </w:pPr>
            <w:r>
              <w:rPr>
                <w:rFonts w:ascii="Roboto" w:hAnsi="Roboto"/>
                <w:sz w:val="20"/>
                <w:szCs w:val="20"/>
              </w:rPr>
              <w:t>increase supply of affordable units for households under 30%AMI by 375 (35%) new units</w:t>
            </w:r>
          </w:p>
          <w:p w14:paraId="3B2E9C68" w14:textId="77777777" w:rsidR="00CA09D0" w:rsidRDefault="00CA09D0" w:rsidP="00CA0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51" w:firstLine="0"/>
            </w:pPr>
            <w:r>
              <w:rPr>
                <w:rFonts w:ascii="Roboto" w:hAnsi="Roboto"/>
                <w:sz w:val="20"/>
                <w:szCs w:val="20"/>
              </w:rPr>
              <w:t xml:space="preserve">increase supply affordable units for households at 30-60%AMI by 1,125 (65%) new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units</w:t>
            </w:r>
            <w:proofErr w:type="gramEnd"/>
          </w:p>
          <w:p w14:paraId="0633225E" w14:textId="77777777" w:rsidR="00CA09D0" w:rsidRDefault="00CA09D0" w:rsidP="00CA0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51" w:firstLine="0"/>
            </w:pPr>
            <w:r>
              <w:rPr>
                <w:rFonts w:ascii="Roboto" w:hAnsi="Roboto"/>
                <w:sz w:val="20"/>
                <w:szCs w:val="20"/>
              </w:rPr>
              <w:t xml:space="preserve">Of the above units, at least one-third will be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2-3 bedroom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units</w:t>
            </w:r>
          </w:p>
          <w:p w14:paraId="72BA28CB" w14:textId="77777777" w:rsidR="00CA09D0" w:rsidRDefault="00CA09D0" w:rsidP="004771A1">
            <w:pPr>
              <w:pStyle w:val="Standard"/>
              <w:spacing w:after="0" w:line="240" w:lineRule="auto"/>
              <w:rPr>
                <w:rFonts w:ascii="Roboto" w:hAnsi="Roboto"/>
              </w:rPr>
            </w:pPr>
          </w:p>
          <w:p w14:paraId="6ABBD9DF" w14:textId="77777777" w:rsidR="00CA09D0" w:rsidRDefault="00CA09D0" w:rsidP="00CA09D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By 2028, increase supply of affordable homeownership housing for homeowners at 30-80%AMI by 400 new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units</w:t>
            </w:r>
            <w:proofErr w:type="gramEnd"/>
          </w:p>
          <w:p w14:paraId="43A23008" w14:textId="77777777" w:rsidR="00CA09D0" w:rsidRDefault="00CA09D0" w:rsidP="00CA09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51" w:firstLine="0"/>
            </w:pPr>
            <w:r>
              <w:rPr>
                <w:rFonts w:ascii="Roboto" w:hAnsi="Roboto"/>
                <w:sz w:val="20"/>
                <w:szCs w:val="20"/>
              </w:rPr>
              <w:t>Increase supply of affordable HO units at 30-60% AMI by 200 (50%)</w:t>
            </w:r>
          </w:p>
          <w:p w14:paraId="40196B96" w14:textId="77777777" w:rsidR="00CA09D0" w:rsidRDefault="00CA09D0" w:rsidP="00CA09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51" w:firstLine="0"/>
            </w:pPr>
            <w:r>
              <w:rPr>
                <w:rFonts w:ascii="Roboto" w:hAnsi="Roboto"/>
                <w:sz w:val="20"/>
                <w:szCs w:val="20"/>
              </w:rPr>
              <w:t>Increase supply of affordable HO unites at 60-80% by 200 (50%)</w:t>
            </w:r>
          </w:p>
          <w:p w14:paraId="2A413AAD" w14:textId="77777777" w:rsidR="00CA09D0" w:rsidRDefault="00CA09D0" w:rsidP="00CA0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51" w:firstLine="0"/>
            </w:pPr>
            <w:r>
              <w:rPr>
                <w:rFonts w:ascii="Roboto" w:hAnsi="Roboto"/>
                <w:sz w:val="20"/>
                <w:szCs w:val="20"/>
              </w:rPr>
              <w:t>Increase supply of accessible, affordable units for seniors and people with disabilities at 30-80% AMI by 200.</w:t>
            </w:r>
          </w:p>
          <w:p w14:paraId="2374C8E1" w14:textId="77777777" w:rsidR="00CA09D0" w:rsidRDefault="00CA09D0" w:rsidP="00CA0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51" w:firstLine="0"/>
            </w:pPr>
            <w:r>
              <w:rPr>
                <w:rFonts w:ascii="Roboto" w:hAnsi="Roboto"/>
                <w:sz w:val="20"/>
                <w:szCs w:val="20"/>
              </w:rPr>
              <w:t xml:space="preserve">Of the above units, 25% will be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4-5 bedroom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units</w:t>
            </w:r>
          </w:p>
          <w:p w14:paraId="524B24E5" w14:textId="77777777" w:rsidR="00CA09D0" w:rsidRDefault="00CA09D0" w:rsidP="004771A1">
            <w:pPr>
              <w:pStyle w:val="Standard"/>
              <w:spacing w:after="0" w:line="240" w:lineRule="auto"/>
              <w:rPr>
                <w:rFonts w:ascii="Roboto" w:hAnsi="Roboto"/>
              </w:rPr>
            </w:pPr>
          </w:p>
          <w:p w14:paraId="27D35822" w14:textId="5CFB77CE" w:rsidR="00CA09D0" w:rsidRDefault="00CA09D0" w:rsidP="00CA09D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By 2028, develop a </w:t>
            </w:r>
            <w:r w:rsidR="00F04A18">
              <w:rPr>
                <w:rFonts w:ascii="Roboto" w:hAnsi="Roboto"/>
                <w:sz w:val="20"/>
                <w:szCs w:val="20"/>
              </w:rPr>
              <w:t>10-year affordable housing</w:t>
            </w:r>
            <w:r>
              <w:rPr>
                <w:rFonts w:ascii="Roboto" w:hAnsi="Roboto"/>
                <w:sz w:val="20"/>
                <w:szCs w:val="20"/>
              </w:rPr>
              <w:t xml:space="preserve"> strategic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plan</w:t>
            </w:r>
            <w:proofErr w:type="gramEnd"/>
          </w:p>
          <w:p w14:paraId="71E8DC40" w14:textId="77777777" w:rsidR="00CA09D0" w:rsidRDefault="00CA09D0" w:rsidP="004771A1">
            <w:pPr>
              <w:pStyle w:val="Standard"/>
              <w:spacing w:after="0" w:line="240" w:lineRule="auto"/>
              <w:rPr>
                <w:rFonts w:ascii="Roboto" w:hAnsi="Roboto"/>
              </w:rPr>
            </w:pPr>
          </w:p>
          <w:p w14:paraId="73A0D0D7" w14:textId="0A66F19B" w:rsidR="00CA09D0" w:rsidRPr="003D4980" w:rsidRDefault="00CA09D0" w:rsidP="004771A1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By 2028, establish system changes that realign power imbalances preventing access to, or development of, affordable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housing</w:t>
            </w:r>
            <w:proofErr w:type="gramEnd"/>
          </w:p>
          <w:p w14:paraId="7B78BD11" w14:textId="77777777" w:rsidR="00CA09D0" w:rsidRDefault="00CA09D0" w:rsidP="004771A1">
            <w:pPr>
              <w:pStyle w:val="Standard"/>
              <w:spacing w:after="0" w:line="240" w:lineRule="auto"/>
              <w:rPr>
                <w:rFonts w:ascii="Roboto" w:hAnsi="Roboto"/>
              </w:rPr>
            </w:pPr>
          </w:p>
        </w:tc>
      </w:tr>
      <w:tr w:rsidR="00CA09D0" w14:paraId="1F661202" w14:textId="77777777" w:rsidTr="004771A1">
        <w:trPr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B3BC" w14:textId="77777777" w:rsidR="00CA09D0" w:rsidRPr="003F5F23" w:rsidRDefault="00CA09D0" w:rsidP="003F5F23">
            <w:pPr>
              <w:rPr>
                <w:rFonts w:ascii="Roboto" w:hAnsi="Roboto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F5F23" w14:paraId="133CCF54" w14:textId="77777777" w:rsidTr="00D6616B">
        <w:trPr>
          <w:trHeight w:val="46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CC41" w14:textId="52966FCF" w:rsidR="003F5F23" w:rsidRPr="003F5F23" w:rsidRDefault="003F5F23" w:rsidP="003F5F23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</w:rPr>
            </w:pPr>
            <w:r w:rsidRPr="003F5F23">
              <w:rPr>
                <w:rFonts w:ascii="Roboto" w:hAnsi="Roboto"/>
                <w:b/>
                <w:bCs/>
              </w:rPr>
              <w:t>Planned Strategy 1:  Provide grant subsidy for new development of units with 2-3 bedrooms</w:t>
            </w:r>
          </w:p>
        </w:tc>
      </w:tr>
      <w:tr w:rsidR="00CA09D0" w14:paraId="686957F5" w14:textId="77777777" w:rsidTr="00370C27">
        <w:trPr>
          <w:trHeight w:val="260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8AC8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1: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D627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5230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C1DE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CA09D0" w14:paraId="78D9FB8A" w14:textId="77777777" w:rsidTr="00370C27">
        <w:trPr>
          <w:trHeight w:val="521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4B04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9958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83FC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By when </w:t>
            </w:r>
            <w:proofErr w:type="gramStart"/>
            <w:r>
              <w:rPr>
                <w:rFonts w:ascii="Roboto" w:hAnsi="Roboto"/>
                <w:b/>
                <w:sz w:val="20"/>
                <w:szCs w:val="20"/>
              </w:rPr>
              <w:t>will it</w:t>
            </w:r>
            <w:proofErr w:type="gramEnd"/>
            <w:r>
              <w:rPr>
                <w:rFonts w:ascii="Roboto" w:hAnsi="Roboto"/>
                <w:b/>
                <w:sz w:val="20"/>
                <w:szCs w:val="20"/>
              </w:rPr>
              <w:t xml:space="preserve">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2B2B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CA09D0" w14:paraId="1E7D6A7D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E520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Identify organization or entity responsible for developing NOFO and managing affordable housing grants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F08B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Affordable Housing Advisory Board with community partners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DB7E6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Q3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BD42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CA09D0" w14:paraId="4C7434EF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0B43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Focused outreach with developers for discussions about incentives that would encourage/enable them to build units with 2-3 bedrooms and make at least 10% or more affordable.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D89D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 Affordable Housing Advisory Board with community partners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1DF9F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Q3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8F69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 volunteer time</w:t>
            </w:r>
          </w:p>
          <w:p w14:paraId="7D966EE8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  <w:p w14:paraId="0F29AA3A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Budget for print materials</w:t>
            </w:r>
          </w:p>
        </w:tc>
      </w:tr>
      <w:tr w:rsidR="00CA09D0" w14:paraId="68C8A9B9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97CD" w14:textId="0F346A44" w:rsidR="00CA09D0" w:rsidRPr="002A1562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color w:val="000000"/>
                <w:sz w:val="20"/>
                <w:szCs w:val="20"/>
              </w:rPr>
              <w:t>Identify lead agency or agencies to apply for and manage annual and special NOFO funding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8344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 Affordable Housing Advisory Board with community partners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BA1D7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Q4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A2A6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CA09D0" w14:paraId="67147E1E" w14:textId="77777777" w:rsidTr="002A1562">
        <w:trPr>
          <w:trHeight w:val="440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ACC3" w14:textId="7FFBE1CC" w:rsidR="00CA09D0" w:rsidRDefault="002A1562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color w:val="000000"/>
                <w:sz w:val="20"/>
                <w:szCs w:val="20"/>
              </w:rPr>
              <w:lastRenderedPageBreak/>
              <w:t xml:space="preserve">Establish guidelines and procedures for incentives and subsidy </w:t>
            </w:r>
            <w:r w:rsidR="00CA09D0">
              <w:rPr>
                <w:rFonts w:ascii="Roboto" w:hAnsi="Roboto"/>
                <w:bCs/>
                <w:color w:val="000000"/>
                <w:sz w:val="20"/>
                <w:szCs w:val="20"/>
              </w:rPr>
              <w:t>Identify additional funding sources</w:t>
            </w:r>
          </w:p>
        </w:tc>
      </w:tr>
      <w:tr w:rsidR="002A1562" w14:paraId="473F5D29" w14:textId="77777777" w:rsidTr="00D6616B">
        <w:trPr>
          <w:trHeight w:val="791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02C46" w14:textId="2A12D4A9" w:rsidR="002A1562" w:rsidRPr="002A1562" w:rsidRDefault="002A1562" w:rsidP="002A1562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</w:rPr>
            </w:pPr>
            <w:r w:rsidRPr="002A1562">
              <w:rPr>
                <w:rFonts w:ascii="Roboto" w:hAnsi="Roboto"/>
                <w:b/>
                <w:bCs/>
              </w:rPr>
              <w:t>Planned Strategy 2:  Increase permanently affordable housing stock by identifying and acquiring parcels and units for the community land trust and future affordable housing development</w:t>
            </w:r>
          </w:p>
        </w:tc>
      </w:tr>
      <w:tr w:rsidR="002A1562" w14:paraId="46C33789" w14:textId="77777777" w:rsidTr="0090378E">
        <w:trPr>
          <w:trHeight w:val="27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719BD" w14:textId="40D2677E" w:rsidR="002A1562" w:rsidRDefault="002A1562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2:</w:t>
            </w:r>
          </w:p>
        </w:tc>
      </w:tr>
      <w:tr w:rsidR="00CA09D0" w14:paraId="2C18D5F3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64E5F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76EB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D823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By when </w:t>
            </w:r>
            <w:proofErr w:type="gramStart"/>
            <w:r>
              <w:rPr>
                <w:rFonts w:ascii="Roboto" w:hAnsi="Roboto"/>
                <w:b/>
                <w:sz w:val="20"/>
                <w:szCs w:val="20"/>
              </w:rPr>
              <w:t>will it</w:t>
            </w:r>
            <w:proofErr w:type="gramEnd"/>
            <w:r>
              <w:rPr>
                <w:rFonts w:ascii="Roboto" w:hAnsi="Roboto"/>
                <w:b/>
                <w:sz w:val="20"/>
                <w:szCs w:val="20"/>
              </w:rPr>
              <w:t xml:space="preserve">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641E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CA09D0" w14:paraId="7789CFA3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9947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Meet with Tenants to Homeowners/Community Land Trust, Habitat for Humanity, City of Lawrence, Douglas County, and stakeholders to determine housing development </w:t>
            </w:r>
            <w:proofErr w:type="gramStart"/>
            <w:r>
              <w:rPr>
                <w:rFonts w:ascii="Roboto" w:hAnsi="Roboto"/>
                <w:bCs/>
                <w:sz w:val="20"/>
                <w:szCs w:val="20"/>
              </w:rPr>
              <w:t>roles</w:t>
            </w:r>
            <w:proofErr w:type="gramEnd"/>
          </w:p>
          <w:p w14:paraId="2A091601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FCB4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Tenants to Homeowners, Habitat for Humanity and Lawrence-Douglas County Housing Authority</w:t>
            </w:r>
          </w:p>
          <w:p w14:paraId="7CF46525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41E3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8EA3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CA09D0" w14:paraId="2817863F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FAAE7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color w:val="000000"/>
                <w:sz w:val="20"/>
                <w:szCs w:val="20"/>
              </w:rPr>
              <w:t>Research current City HOME &amp; CDBG priorities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6884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Tenants to Homeowners, Habitat for Humanity and Lawrence-Douglas County Housing Authority</w:t>
            </w:r>
          </w:p>
          <w:p w14:paraId="6CC24886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1BD6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Q3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D4F4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time</w:t>
            </w:r>
          </w:p>
          <w:p w14:paraId="569B8A5A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CA09D0" w14:paraId="3FC3F493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F9C7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color w:val="000000"/>
                <w:sz w:val="20"/>
                <w:szCs w:val="20"/>
              </w:rPr>
              <w:t>Identify additional on-going funding source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076F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Tenants to Homeowners, Habitat for Humanity and Lawrence-Douglas County Housing Authority</w:t>
            </w:r>
          </w:p>
          <w:p w14:paraId="1545F363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CA13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Q4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FBB7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time</w:t>
            </w:r>
          </w:p>
          <w:p w14:paraId="6F0F79E3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CA09D0" w14:paraId="4CA05AA4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0D00C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Advocate for prioritization of locally allocated federal funds to be utilized for permanent </w:t>
            </w:r>
            <w:proofErr w:type="gramStart"/>
            <w:r>
              <w:rPr>
                <w:rFonts w:ascii="Roboto" w:hAnsi="Roboto"/>
                <w:bCs/>
                <w:sz w:val="20"/>
                <w:szCs w:val="20"/>
              </w:rPr>
              <w:t>affordability</w:t>
            </w:r>
            <w:proofErr w:type="gramEnd"/>
          </w:p>
          <w:p w14:paraId="5C3A0B6A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BE0C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Tenants to Homeowners, Habitat for Humanity and Lawrence-Douglas County Housing Authority</w:t>
            </w:r>
          </w:p>
          <w:p w14:paraId="318B9259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3ED1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Q1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B3A4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 volunteer time</w:t>
            </w:r>
          </w:p>
        </w:tc>
      </w:tr>
      <w:tr w:rsidR="002A1562" w14:paraId="61CA218F" w14:textId="77777777" w:rsidTr="00D6616B">
        <w:trPr>
          <w:trHeight w:val="683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6840" w14:textId="443728AB" w:rsidR="002A1562" w:rsidRPr="002A1562" w:rsidRDefault="002A1562" w:rsidP="002A1562">
            <w:pPr>
              <w:pStyle w:val="Standard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A1562">
              <w:rPr>
                <w:rFonts w:ascii="Roboto" w:hAnsi="Roboto"/>
                <w:b/>
                <w:bCs/>
              </w:rPr>
              <w:t>Planned Strategy 3:   Provide recommendations to Land Development Code Update Steering Committee for code updates that allow for flexible, time-efficient and cost-effective affordable housing development.</w:t>
            </w:r>
          </w:p>
        </w:tc>
      </w:tr>
      <w:tr w:rsidR="00CA09D0" w14:paraId="3EB3A2AD" w14:textId="77777777" w:rsidTr="00370C27">
        <w:trPr>
          <w:trHeight w:val="179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661A3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3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7944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F161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019D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CA09D0" w14:paraId="2E753E37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9AFF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DB6F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375F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By when </w:t>
            </w:r>
            <w:proofErr w:type="gramStart"/>
            <w:r>
              <w:rPr>
                <w:rFonts w:ascii="Roboto" w:hAnsi="Roboto"/>
                <w:b/>
                <w:sz w:val="20"/>
                <w:szCs w:val="20"/>
              </w:rPr>
              <w:t>will it</w:t>
            </w:r>
            <w:proofErr w:type="gramEnd"/>
            <w:r>
              <w:rPr>
                <w:rFonts w:ascii="Roboto" w:hAnsi="Roboto"/>
                <w:b/>
                <w:sz w:val="20"/>
                <w:szCs w:val="20"/>
              </w:rPr>
              <w:t xml:space="preserve">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0FB3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CA09D0" w14:paraId="73DD56A2" w14:textId="77777777" w:rsidTr="00370C27">
        <w:trPr>
          <w:trHeight w:val="1610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84F1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color w:val="000000"/>
                <w:sz w:val="20"/>
                <w:szCs w:val="20"/>
              </w:rPr>
              <w:t>Meet with Planning Director to gain understanding of Land Development Code update process, timing, and influence points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FDE5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Rebecca Buford &amp; Lea Roselyn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12D0F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Q1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5D62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time</w:t>
            </w:r>
          </w:p>
        </w:tc>
      </w:tr>
      <w:tr w:rsidR="00CA09D0" w14:paraId="29EF7C8A" w14:textId="77777777" w:rsidTr="00370C27">
        <w:trPr>
          <w:trHeight w:val="1160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837C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color w:val="000000"/>
                <w:sz w:val="20"/>
                <w:szCs w:val="20"/>
              </w:rPr>
              <w:t>Determine the specific code updates to align for affordable housing land development code best practices (</w:t>
            </w:r>
            <w:proofErr w:type="gramStart"/>
            <w:r>
              <w:rPr>
                <w:rFonts w:ascii="Roboto" w:hAnsi="Roboto"/>
                <w:bCs/>
                <w:color w:val="000000"/>
                <w:sz w:val="20"/>
                <w:szCs w:val="20"/>
              </w:rPr>
              <w:t>e.g.</w:t>
            </w:r>
            <w:proofErr w:type="gramEnd"/>
            <w:r>
              <w:rPr>
                <w:rFonts w:ascii="Roboto" w:hAnsi="Roboto"/>
                <w:bCs/>
                <w:color w:val="000000"/>
                <w:sz w:val="20"/>
                <w:szCs w:val="20"/>
              </w:rPr>
              <w:t xml:space="preserve"> density, building typologies, ADUs, Shared Equity Ownership Models, etc.)</w:t>
            </w:r>
          </w:p>
          <w:p w14:paraId="0B2DDEA1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6AE6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Rebecca Buford &amp; Lea Roselyn, with subcommittee of Affordable Housing Workgroup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0466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Q1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86DC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and/or volunteer time</w:t>
            </w:r>
          </w:p>
        </w:tc>
      </w:tr>
      <w:tr w:rsidR="00CA09D0" w14:paraId="4245338E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9312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Provide input on Land Development Code update assessment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C0AAF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Rebecca Buford, Lea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Roselyn,  with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subcommittee of </w:t>
            </w:r>
            <w:r>
              <w:rPr>
                <w:rFonts w:ascii="Roboto" w:hAnsi="Roboto"/>
                <w:sz w:val="20"/>
                <w:szCs w:val="20"/>
              </w:rPr>
              <w:lastRenderedPageBreak/>
              <w:t>Affordable Housing Workgroup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299B1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lastRenderedPageBreak/>
              <w:t>Q1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E508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and/or volunteer time</w:t>
            </w:r>
          </w:p>
        </w:tc>
      </w:tr>
      <w:tr w:rsidR="00CA09D0" w14:paraId="4F427B18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ABA5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Write letter of recommended code updates to Land Development Code Update Steering Committee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C9B6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Rebecca Buford &amp; Lea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Roselyn  with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subcommittee of Affordable Housing Workgroup</w:t>
            </w:r>
          </w:p>
          <w:p w14:paraId="51A70CD4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40652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 Q2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4171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and/or volunteer time</w:t>
            </w:r>
          </w:p>
        </w:tc>
      </w:tr>
      <w:tr w:rsidR="00CA09D0" w14:paraId="0A9276E0" w14:textId="77777777" w:rsidTr="00370C27">
        <w:trPr>
          <w:trHeight w:val="350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290D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Regularly update Affordable Housing Workgroup on opportunities for ongoing engagement and communication for Land Development Code update</w:t>
            </w:r>
          </w:p>
          <w:p w14:paraId="7728AFAF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D637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Rebecca Buford &amp; Lea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Roselyn  with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subcommittee of Affordable Housing Workgroup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EFBE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Ongoing during Land Development Code update process (2023-2024)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3E4A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and/or volunteer time</w:t>
            </w:r>
          </w:p>
        </w:tc>
      </w:tr>
      <w:tr w:rsidR="00C1480B" w14:paraId="04DDB59F" w14:textId="77777777" w:rsidTr="00370C27">
        <w:trPr>
          <w:trHeight w:val="494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35A7" w14:textId="77777777" w:rsidR="00C1480B" w:rsidRPr="00C1480B" w:rsidRDefault="00C1480B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Review and provide feedback on every phase of the Land Development Code update process to Land Development Code Update Steering Committee and Consultants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 w:themeFill="accent4" w:themeFillTint="33"/>
          </w:tcPr>
          <w:p w14:paraId="5D5210F2" w14:textId="753680CE" w:rsidR="00C1480B" w:rsidRPr="00C1480B" w:rsidRDefault="00C1480B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Rebecca Buford &amp; Lea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Roselyn  with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subcommittee of Affordable Housing Workgroup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 w:themeFill="accent4" w:themeFillTint="33"/>
          </w:tcPr>
          <w:p w14:paraId="3061067B" w14:textId="21F0F696" w:rsidR="00C1480B" w:rsidRPr="00C1480B" w:rsidRDefault="00C1480B" w:rsidP="004771A1">
            <w:pPr>
              <w:pStyle w:val="Standard"/>
              <w:widowControl w:val="0"/>
              <w:spacing w:after="0" w:line="240" w:lineRule="auto"/>
            </w:pPr>
            <w:r>
              <w:t>Q3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 w:themeFill="accent4" w:themeFillTint="33"/>
          </w:tcPr>
          <w:p w14:paraId="520E2CE9" w14:textId="6545121A" w:rsidR="00C1480B" w:rsidRPr="00C1480B" w:rsidRDefault="00C1480B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and/or volunteer time</w:t>
            </w:r>
          </w:p>
        </w:tc>
      </w:tr>
      <w:tr w:rsidR="00CA09D0" w14:paraId="59D127FF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5979" w14:textId="77777777" w:rsidR="00CA09D0" w:rsidRPr="00C1480B" w:rsidRDefault="00CA09D0" w:rsidP="004771A1">
            <w:pPr>
              <w:pStyle w:val="Standard"/>
              <w:widowControl w:val="0"/>
              <w:spacing w:after="0" w:line="240" w:lineRule="auto"/>
            </w:pPr>
            <w:r w:rsidRPr="00C1480B">
              <w:rPr>
                <w:rFonts w:ascii="Roboto" w:hAnsi="Roboto"/>
                <w:sz w:val="20"/>
                <w:szCs w:val="20"/>
              </w:rPr>
              <w:t xml:space="preserve">Analyze new Land Development Code with regard to creation of affordable units and recommend best practices for Affordable Housing Overlay Zone </w:t>
            </w:r>
            <w:proofErr w:type="gramStart"/>
            <w:r w:rsidRPr="00C1480B">
              <w:rPr>
                <w:rFonts w:ascii="Roboto" w:hAnsi="Roboto"/>
                <w:sz w:val="20"/>
                <w:szCs w:val="20"/>
              </w:rPr>
              <w:t xml:space="preserve">and </w:t>
            </w:r>
            <w:r w:rsidRPr="00C1480B">
              <w:rPr>
                <w:rFonts w:ascii="Roboto" w:hAnsi="Roboto"/>
                <w:color w:val="000000"/>
                <w:sz w:val="20"/>
                <w:szCs w:val="20"/>
              </w:rPr>
              <w:t xml:space="preserve"> Shared</w:t>
            </w:r>
            <w:proofErr w:type="gramEnd"/>
            <w:r w:rsidRPr="00C1480B">
              <w:rPr>
                <w:rFonts w:ascii="Roboto" w:hAnsi="Roboto"/>
                <w:color w:val="000000"/>
                <w:sz w:val="20"/>
                <w:szCs w:val="20"/>
              </w:rPr>
              <w:t xml:space="preserve"> Equity Ownership Models</w:t>
            </w:r>
            <w:r w:rsidRPr="00C1480B">
              <w:rPr>
                <w:rFonts w:ascii="Roboto" w:hAnsi="Roboto"/>
                <w:sz w:val="20"/>
                <w:szCs w:val="20"/>
              </w:rPr>
              <w:t xml:space="preserve"> to address gaps as needed</w:t>
            </w:r>
          </w:p>
          <w:p w14:paraId="71AE4016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709F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Rebecca Buford &amp; Lea Roselyn, with subcommittee of Affordable Housing Workgroup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5B80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Q3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323E" w14:textId="5C13237B" w:rsidR="00CA09D0" w:rsidRDefault="00C1480B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and/or volunteer time</w:t>
            </w:r>
          </w:p>
        </w:tc>
      </w:tr>
      <w:tr w:rsidR="00370C27" w14:paraId="4D5DFD14" w14:textId="77777777" w:rsidTr="00D6616B">
        <w:trPr>
          <w:trHeight w:val="512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DF6B3" w14:textId="7DF54501" w:rsidR="00370C27" w:rsidRPr="00370C27" w:rsidRDefault="00370C27" w:rsidP="00370C27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</w:rPr>
            </w:pPr>
            <w:r w:rsidRPr="00370C27">
              <w:rPr>
                <w:rFonts w:ascii="Roboto" w:hAnsi="Roboto"/>
                <w:b/>
                <w:bCs/>
              </w:rPr>
              <w:t>Planned Strategy 4:   Establish Tenant Legal Representation</w:t>
            </w:r>
          </w:p>
        </w:tc>
      </w:tr>
      <w:tr w:rsidR="00CA09D0" w14:paraId="44CAF5BE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D01E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4: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DF4C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3CA0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B40B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CA09D0" w14:paraId="62B02F7F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5BA8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0982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9305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By when </w:t>
            </w:r>
            <w:proofErr w:type="gramStart"/>
            <w:r>
              <w:rPr>
                <w:rFonts w:ascii="Roboto" w:hAnsi="Roboto"/>
                <w:b/>
                <w:sz w:val="20"/>
                <w:szCs w:val="20"/>
              </w:rPr>
              <w:t>will it</w:t>
            </w:r>
            <w:proofErr w:type="gramEnd"/>
            <w:r>
              <w:rPr>
                <w:rFonts w:ascii="Roboto" w:hAnsi="Roboto"/>
                <w:b/>
                <w:sz w:val="20"/>
                <w:szCs w:val="20"/>
              </w:rPr>
              <w:t xml:space="preserve">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1C02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CA09D0" w14:paraId="0186A020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12E0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Establish Tenant Legal Representation Workgroup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D8E4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Human Services Program Manager</w:t>
            </w:r>
          </w:p>
          <w:p w14:paraId="56208189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5563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Q1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9107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-</w:t>
            </w:r>
          </w:p>
        </w:tc>
      </w:tr>
      <w:tr w:rsidR="00CA09D0" w14:paraId="00CDF326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9924A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Identify funding partners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F03B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Tenant Legal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Representation  workgroup</w:t>
            </w:r>
            <w:proofErr w:type="gramEnd"/>
          </w:p>
          <w:p w14:paraId="4365FA7C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509F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Q4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CBAFA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Funding sources</w:t>
            </w:r>
          </w:p>
        </w:tc>
      </w:tr>
      <w:tr w:rsidR="00370C27" w14:paraId="256C4884" w14:textId="77777777" w:rsidTr="00E4505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8FD4" w14:textId="77777777" w:rsidR="00370C27" w:rsidRDefault="00370C2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Establish Tenant Legal Representation Pilot Project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</w:tcPr>
          <w:p w14:paraId="40EB4B88" w14:textId="77777777" w:rsidR="00370C27" w:rsidRDefault="00370C27" w:rsidP="00370C2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Tenant Legal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Representation  workgroup</w:t>
            </w:r>
            <w:proofErr w:type="gramEnd"/>
          </w:p>
          <w:p w14:paraId="6C428377" w14:textId="77777777" w:rsidR="00370C27" w:rsidRDefault="00370C2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</w:tcPr>
          <w:p w14:paraId="4EBA690F" w14:textId="63625EAF" w:rsidR="00370C27" w:rsidRDefault="00370C27" w:rsidP="004771A1">
            <w:pPr>
              <w:pStyle w:val="Standard"/>
              <w:widowControl w:val="0"/>
              <w:spacing w:after="0" w:line="240" w:lineRule="auto"/>
            </w:pPr>
            <w:r>
              <w:t>Q</w:t>
            </w:r>
            <w:r w:rsidR="00E45057">
              <w:t>1 2023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</w:tcPr>
          <w:p w14:paraId="77F5A29D" w14:textId="278476A6" w:rsidR="00370C27" w:rsidRDefault="00370C2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CA09D0" w14:paraId="3045E6BB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6A920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proofErr w:type="gramStart"/>
            <w:r>
              <w:rPr>
                <w:rFonts w:ascii="Roboto" w:hAnsi="Roboto"/>
                <w:bCs/>
                <w:sz w:val="20"/>
                <w:szCs w:val="20"/>
              </w:rPr>
              <w:t>Propose  Tenant</w:t>
            </w:r>
            <w:proofErr w:type="gramEnd"/>
            <w:r>
              <w:rPr>
                <w:rFonts w:ascii="Roboto" w:hAnsi="Roboto"/>
                <w:bCs/>
                <w:sz w:val="20"/>
                <w:szCs w:val="20"/>
              </w:rPr>
              <w:t xml:space="preserve"> Legal Representation ordinance based on outcomes of pilot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FACE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Tenant Legal Representation workgroup with community involvement</w:t>
            </w:r>
          </w:p>
          <w:p w14:paraId="42CC83EE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2C29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Q4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ED8B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Community support</w:t>
            </w:r>
          </w:p>
        </w:tc>
      </w:tr>
      <w:tr w:rsidR="00E45057" w14:paraId="1E2C296C" w14:textId="77777777" w:rsidTr="00D6616B">
        <w:trPr>
          <w:trHeight w:val="584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02585" w14:textId="02BF8225" w:rsidR="00E45057" w:rsidRP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</w:rPr>
            </w:pPr>
            <w:r w:rsidRPr="00E45057">
              <w:rPr>
                <w:rFonts w:ascii="Roboto" w:hAnsi="Roboto"/>
                <w:b/>
                <w:bCs/>
              </w:rPr>
              <w:t>Planned Strategy 5: Establish source of income discrimination protection enforcement</w:t>
            </w:r>
          </w:p>
        </w:tc>
      </w:tr>
      <w:tr w:rsidR="00CA09D0" w14:paraId="63935CAE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E05D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5: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183E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CECD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64DE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CA09D0" w14:paraId="16A8B0F5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7CB8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5BD5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F509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By when </w:t>
            </w:r>
            <w:proofErr w:type="gramStart"/>
            <w:r>
              <w:rPr>
                <w:rFonts w:ascii="Roboto" w:hAnsi="Roboto"/>
                <w:b/>
                <w:sz w:val="20"/>
                <w:szCs w:val="20"/>
              </w:rPr>
              <w:t>will it</w:t>
            </w:r>
            <w:proofErr w:type="gramEnd"/>
            <w:r>
              <w:rPr>
                <w:rFonts w:ascii="Roboto" w:hAnsi="Roboto"/>
                <w:b/>
                <w:sz w:val="20"/>
                <w:szCs w:val="20"/>
              </w:rPr>
              <w:t xml:space="preserve">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415E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E45057" w14:paraId="23816FC3" w14:textId="77777777" w:rsidTr="00E4505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8A5E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lastRenderedPageBreak/>
              <w:t>Ensure passing of Source of Income discrimination protections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 w:themeFill="accent4" w:themeFillTint="33"/>
          </w:tcPr>
          <w:p w14:paraId="77DB5CC4" w14:textId="22D364F2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Source of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Income  workgroup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>, Human Relations Commission, City Staff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 w:themeFill="accent4" w:themeFillTint="33"/>
          </w:tcPr>
          <w:p w14:paraId="3582C63D" w14:textId="22D462FF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Q4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 w:themeFill="accent4" w:themeFillTint="33"/>
          </w:tcPr>
          <w:p w14:paraId="760E73E8" w14:textId="5466691D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E45057" w14:paraId="7EE95B26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55A5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Work with Human Relations Commission, relevant City Staff, and City Commissioners to construct source of income discrimination investigation </w:t>
            </w:r>
            <w:proofErr w:type="gramStart"/>
            <w:r>
              <w:rPr>
                <w:rFonts w:ascii="Roboto" w:hAnsi="Roboto"/>
                <w:bCs/>
                <w:sz w:val="20"/>
                <w:szCs w:val="20"/>
              </w:rPr>
              <w:t>programming</w:t>
            </w:r>
            <w:proofErr w:type="gramEnd"/>
          </w:p>
          <w:p w14:paraId="7647718E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53E4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Source of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Income  workgroup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>, Human Relations Commission, City Staff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1CAE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Q4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2AA9" w14:textId="5B313FC6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Buy-in from all parties including Source of Income   workgroup, Human Relations Commission, City Staff, and City Commissioners</w:t>
            </w:r>
          </w:p>
        </w:tc>
      </w:tr>
      <w:tr w:rsidR="001F40D6" w14:paraId="5B7A9508" w14:textId="77777777" w:rsidTr="00D6616B">
        <w:trPr>
          <w:trHeight w:val="1043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9F93" w14:textId="088BD0D6" w:rsidR="001F40D6" w:rsidRDefault="001F40D6" w:rsidP="001F40D6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</w:rPr>
            </w:pPr>
            <w:r w:rsidRPr="001F40D6">
              <w:rPr>
                <w:rFonts w:ascii="Roboto" w:hAnsi="Roboto"/>
                <w:b/>
                <w:bCs/>
              </w:rPr>
              <w:t xml:space="preserve">Planned Strategy 6:  Establish an ordinance, commonly known as a Vacant Structure Ordinance, which would allow the City of Lawrence to remediate the issue if a property is left vacant and uninhabited. </w:t>
            </w:r>
          </w:p>
        </w:tc>
      </w:tr>
      <w:tr w:rsidR="00E45057" w14:paraId="15909367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2A74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6: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4FC1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47A7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E8F69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E45057" w14:paraId="5F950A2A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8B3E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A588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54B5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By when </w:t>
            </w:r>
            <w:proofErr w:type="gramStart"/>
            <w:r>
              <w:rPr>
                <w:rFonts w:ascii="Roboto" w:hAnsi="Roboto"/>
                <w:b/>
                <w:sz w:val="20"/>
                <w:szCs w:val="20"/>
              </w:rPr>
              <w:t>will it</w:t>
            </w:r>
            <w:proofErr w:type="gramEnd"/>
            <w:r>
              <w:rPr>
                <w:rFonts w:ascii="Roboto" w:hAnsi="Roboto"/>
                <w:b/>
                <w:sz w:val="20"/>
                <w:szCs w:val="20"/>
              </w:rPr>
              <w:t xml:space="preserve">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78CC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1F40D6" w14:paraId="57E06297" w14:textId="77777777" w:rsidTr="00E76FA1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449F" w14:textId="77777777" w:rsidR="001F40D6" w:rsidRDefault="001F40D6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Research similar communities’ ordinances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</w:tcPr>
          <w:p w14:paraId="4D95619A" w14:textId="77777777" w:rsidR="001F40D6" w:rsidRDefault="001F40D6" w:rsidP="00E45057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</w:tcPr>
          <w:p w14:paraId="76CE229D" w14:textId="77777777" w:rsidR="001F40D6" w:rsidRDefault="001F40D6" w:rsidP="00E45057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</w:tcPr>
          <w:p w14:paraId="73B3E836" w14:textId="71076F28" w:rsidR="001F40D6" w:rsidRDefault="001F40D6" w:rsidP="00E45057">
            <w:pPr>
              <w:pStyle w:val="Standard"/>
              <w:widowControl w:val="0"/>
              <w:spacing w:after="0" w:line="240" w:lineRule="auto"/>
            </w:pPr>
          </w:p>
        </w:tc>
      </w:tr>
      <w:tr w:rsidR="00E45057" w14:paraId="312DD5CA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282D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Establish Vacant Structure Registry</w:t>
            </w:r>
          </w:p>
          <w:p w14:paraId="039920B7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C235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City of Lawrence Code Official/Assistant Director of PDS</w:t>
            </w:r>
          </w:p>
          <w:p w14:paraId="2D8F27CC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8DF4" w14:textId="00E4F840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End Q4 202</w:t>
            </w:r>
            <w:r w:rsidR="001F40D6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C977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E45057" w14:paraId="31710C37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6E17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Analyze Vacant Structure Registry and recommend Ordinance to City Commission</w:t>
            </w:r>
          </w:p>
          <w:p w14:paraId="3BDF3BAD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3515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City of Lawrence Affordable Housing Administrator, City of Lawrence Code Official/Assistant Director of PDS, Affordable Housing Workgroup policy subcommittee</w:t>
            </w:r>
          </w:p>
          <w:p w14:paraId="0F5E73A6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5516" w14:textId="15C51A88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End of Q4 202</w:t>
            </w:r>
            <w:r w:rsidR="00E76FA1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0629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E45057" w14:paraId="07D4F268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7218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Identify plausible, appropriate enforcement policy/ordinance language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BF3EF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City of Lawrence Affordable Housing Administrator, City of Lawrence Code Official/Assistant Director of PDS, Affordable Housing Workgroup policy subcommittee</w:t>
            </w:r>
          </w:p>
          <w:p w14:paraId="4FEA0345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C5A09" w14:textId="6240B0B6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Q1 202</w:t>
            </w:r>
            <w:r w:rsidR="00E76FA1">
              <w:rPr>
                <w:rFonts w:ascii="Roboto" w:hAnsi="Roboto"/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01A8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Sample language from reviewed policies</w:t>
            </w:r>
          </w:p>
          <w:p w14:paraId="58B76392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  <w:p w14:paraId="0E73B434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 Staff and/or volunteer time</w:t>
            </w:r>
          </w:p>
        </w:tc>
      </w:tr>
      <w:tr w:rsidR="00E45057" w14:paraId="6DFBC663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2626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Work with City Attorney’s Office to draft enforcement policy/ordinance change proposal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3349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City of Lawrence Affordable Housing Administrator, City of Lawrence Code Official/Assistant Director of PDS, Affordable Housing Workgroup policy subcommittee</w:t>
            </w:r>
          </w:p>
          <w:p w14:paraId="0B7422D5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F869" w14:textId="24E5127F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End of Q1 202</w:t>
            </w:r>
            <w:r w:rsidR="00E76FA1">
              <w:rPr>
                <w:rFonts w:ascii="Roboto" w:hAnsi="Roboto"/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7C02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Buy-in from city codes enforcement and administration to revise the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ordinances</w:t>
            </w:r>
            <w:proofErr w:type="gramEnd"/>
          </w:p>
          <w:p w14:paraId="4DB8247B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  <w:p w14:paraId="2C5C5A2A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 Staff and/or volunteer time</w:t>
            </w:r>
          </w:p>
        </w:tc>
      </w:tr>
      <w:tr w:rsidR="00E45057" w14:paraId="10D901E2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A897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Submit policy/ordinance </w:t>
            </w:r>
            <w:r>
              <w:rPr>
                <w:rFonts w:ascii="Roboto" w:hAnsi="Roboto"/>
                <w:sz w:val="20"/>
                <w:szCs w:val="20"/>
              </w:rPr>
              <w:lastRenderedPageBreak/>
              <w:t xml:space="preserve">proposal to city legal counsel for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review</w:t>
            </w:r>
            <w:proofErr w:type="gramEnd"/>
          </w:p>
          <w:p w14:paraId="07AEA6F7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F9D1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lastRenderedPageBreak/>
              <w:t xml:space="preserve">City Legal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Counsel,  City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lastRenderedPageBreak/>
              <w:t>of Lawrence Affordable Housing Administrator, City of Lawrence Code Official/Assistant Director of PDS, Affordable Housing Workgroup policy subcommittee</w:t>
            </w:r>
          </w:p>
          <w:p w14:paraId="2E47A796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4E51C" w14:textId="31A631C8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lastRenderedPageBreak/>
              <w:t>Q2 202</w:t>
            </w:r>
            <w:r w:rsidR="00E76FA1">
              <w:rPr>
                <w:rFonts w:ascii="Roboto" w:hAnsi="Roboto"/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61ED2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and/or volunteer time</w:t>
            </w:r>
          </w:p>
        </w:tc>
      </w:tr>
      <w:tr w:rsidR="00E45057" w14:paraId="5BDFC227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9F94A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Present enforcement policy/ordinance change proposal to the city commission for approval</w:t>
            </w:r>
          </w:p>
          <w:p w14:paraId="154D82F2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4984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City of Lawrence Affordable Housing Administrator, City of Lawrence Code Official/Assistant Director of PDS</w:t>
            </w:r>
          </w:p>
          <w:p w14:paraId="3502315C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592F" w14:textId="122D4C2F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Q2 202</w:t>
            </w:r>
            <w:r w:rsidR="00E76FA1">
              <w:rPr>
                <w:rFonts w:ascii="Roboto" w:hAnsi="Roboto"/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33D8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and/or volunteer time</w:t>
            </w:r>
          </w:p>
        </w:tc>
      </w:tr>
      <w:tr w:rsidR="00E76FA1" w14:paraId="11DE0397" w14:textId="77777777" w:rsidTr="00D6616B">
        <w:trPr>
          <w:trHeight w:val="809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83F38" w14:textId="0B110121" w:rsidR="00E76FA1" w:rsidRPr="00E76FA1" w:rsidRDefault="00E76FA1" w:rsidP="00E76F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 w:rsidRPr="00E76FA1">
              <w:rPr>
                <w:rFonts w:ascii="Roboto" w:hAnsi="Roboto"/>
                <w:b/>
                <w:bCs/>
              </w:rPr>
              <w:t xml:space="preserve">Planned Strategy 7:   </w:t>
            </w:r>
            <w:r w:rsidR="00E1570A">
              <w:rPr>
                <w:rFonts w:ascii="Roboto" w:hAnsi="Roboto"/>
                <w:b/>
                <w:bCs/>
              </w:rPr>
              <w:t>E</w:t>
            </w:r>
            <w:r w:rsidRPr="00E76FA1">
              <w:rPr>
                <w:rFonts w:ascii="Roboto" w:hAnsi="Roboto"/>
                <w:b/>
                <w:bCs/>
              </w:rPr>
              <w:t>stablish a</w:t>
            </w:r>
            <w:r w:rsidR="00E1570A">
              <w:rPr>
                <w:rFonts w:ascii="Roboto" w:hAnsi="Roboto"/>
                <w:b/>
                <w:bCs/>
              </w:rPr>
              <w:t>n</w:t>
            </w:r>
            <w:r w:rsidRPr="00E76FA1">
              <w:rPr>
                <w:rFonts w:ascii="Roboto" w:hAnsi="Roboto"/>
                <w:b/>
                <w:bCs/>
              </w:rPr>
              <w:t xml:space="preserve"> incentive program within City of Lawrence to encourage new affordable housing development</w:t>
            </w:r>
          </w:p>
        </w:tc>
      </w:tr>
      <w:tr w:rsidR="00E45057" w14:paraId="6227EAF6" w14:textId="77777777" w:rsidTr="00807E49">
        <w:trPr>
          <w:trHeight w:val="27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6CD5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7:</w:t>
            </w:r>
          </w:p>
        </w:tc>
      </w:tr>
      <w:tr w:rsidR="00E45057" w14:paraId="2AB6A21A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D96D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0052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F579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By when </w:t>
            </w:r>
            <w:proofErr w:type="gramStart"/>
            <w:r>
              <w:rPr>
                <w:rFonts w:ascii="Roboto" w:hAnsi="Roboto"/>
                <w:b/>
                <w:sz w:val="20"/>
                <w:szCs w:val="20"/>
              </w:rPr>
              <w:t>will it</w:t>
            </w:r>
            <w:proofErr w:type="gramEnd"/>
            <w:r>
              <w:rPr>
                <w:rFonts w:ascii="Roboto" w:hAnsi="Roboto"/>
                <w:b/>
                <w:sz w:val="20"/>
                <w:szCs w:val="20"/>
              </w:rPr>
              <w:t xml:space="preserve">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F8D4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E45057" w14:paraId="228FE8DA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850E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Research incentives for new affordable housing development, including waiving building and development review fees, providing property tax abatements for the creation of permanently affordable units, and expedited permitting.</w:t>
            </w:r>
          </w:p>
          <w:p w14:paraId="267E3A1C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1DB6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City of Lawrence Affordable Housing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Administrator,  Affordable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Housing Workgroup policy subcommittee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AB48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Q4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ACAB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time</w:t>
            </w:r>
          </w:p>
        </w:tc>
      </w:tr>
      <w:tr w:rsidR="00E45057" w14:paraId="2DEF0F0B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A6AD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Host forum with developers for recommendations and feedback.</w:t>
            </w:r>
          </w:p>
          <w:p w14:paraId="2FDAE628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65EB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Affordable Housing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workgroup,  Affordable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Housing Workgroup policy subcommittee</w:t>
            </w:r>
          </w:p>
          <w:p w14:paraId="059EDCF7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951F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Q12024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923D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time, facilities, budget for catering and print materials</w:t>
            </w:r>
          </w:p>
        </w:tc>
      </w:tr>
      <w:tr w:rsidR="00E45057" w14:paraId="38495EC4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ED84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Develop initial recommendations on an affordable housing incentive program and present to the Lawrence City Commission for considerations.</w:t>
            </w:r>
          </w:p>
          <w:p w14:paraId="5544B698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D6A9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Affordable Housing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workgroup,  Affordable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Housing Workgroup policy subcommittee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EB62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Q2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EE35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time</w:t>
            </w:r>
          </w:p>
        </w:tc>
      </w:tr>
      <w:tr w:rsidR="00E45057" w14:paraId="5473C3CF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5440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Further action steps dependent on Commission.</w:t>
            </w:r>
          </w:p>
          <w:p w14:paraId="3A3E0D4B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BB67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515C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0279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807E49" w14:paraId="0968E059" w14:textId="77777777" w:rsidTr="00D6616B">
        <w:trPr>
          <w:trHeight w:val="674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C1F7" w14:textId="35B7786F" w:rsidR="00807E49" w:rsidRDefault="00807E49" w:rsidP="00B443E2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 w:rsidRPr="00807E49">
              <w:rPr>
                <w:rFonts w:ascii="Roboto" w:hAnsi="Roboto"/>
                <w:b/>
                <w:bCs/>
              </w:rPr>
              <w:t>Planned Strategy 8:   Create planned strategy for researching and acquiring funding resources (one-time and sustainable)</w:t>
            </w:r>
          </w:p>
        </w:tc>
      </w:tr>
      <w:tr w:rsidR="00E45057" w14:paraId="42E84DC6" w14:textId="77777777" w:rsidTr="00B443E2">
        <w:trPr>
          <w:trHeight w:val="27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71FA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8:</w:t>
            </w:r>
          </w:p>
        </w:tc>
      </w:tr>
      <w:tr w:rsidR="00E45057" w14:paraId="10715E4D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897B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2ABF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ACEB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By when </w:t>
            </w:r>
            <w:proofErr w:type="gramStart"/>
            <w:r>
              <w:rPr>
                <w:rFonts w:ascii="Roboto" w:hAnsi="Roboto"/>
                <w:b/>
                <w:sz w:val="20"/>
                <w:szCs w:val="20"/>
              </w:rPr>
              <w:t>will it</w:t>
            </w:r>
            <w:proofErr w:type="gramEnd"/>
            <w:r>
              <w:rPr>
                <w:rFonts w:ascii="Roboto" w:hAnsi="Roboto"/>
                <w:b/>
                <w:sz w:val="20"/>
                <w:szCs w:val="20"/>
              </w:rPr>
              <w:t xml:space="preserve">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6A72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E45057" w14:paraId="38550C6D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5D01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Develop a team to research grant opportunities.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CF92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Affordable housing grant team</w:t>
            </w:r>
          </w:p>
          <w:p w14:paraId="6B06F691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  <w:p w14:paraId="052E136A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  <w:p w14:paraId="53AB6B00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C041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lastRenderedPageBreak/>
              <w:t>Q1 2023</w:t>
            </w:r>
          </w:p>
          <w:p w14:paraId="6CC074F9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5BEF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Shared spreadsheet online for each team member to </w:t>
            </w:r>
            <w:r>
              <w:rPr>
                <w:rFonts w:ascii="Roboto" w:hAnsi="Roboto"/>
                <w:sz w:val="20"/>
                <w:szCs w:val="20"/>
              </w:rPr>
              <w:lastRenderedPageBreak/>
              <w:t>contribute details of</w:t>
            </w:r>
          </w:p>
          <w:p w14:paraId="7557B3D1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1) potential funders,</w:t>
            </w:r>
          </w:p>
          <w:p w14:paraId="409A4A84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2) reasons they were selected as possibilities,</w:t>
            </w:r>
          </w:p>
          <w:p w14:paraId="7A2991E0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3) deadlines for proposals, 4) requirements of funder,</w:t>
            </w:r>
          </w:p>
          <w:p w14:paraId="27CE3C1B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5) why specific funder would be appropriate/what outcomes and accountability (reporting) is required, and other information that will determine where applications are submitted.</w:t>
            </w:r>
          </w:p>
          <w:p w14:paraId="2DE4A9DB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E45057" w14:paraId="7048BF88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9195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lastRenderedPageBreak/>
              <w:t>Develop a plan for sharing the grant opportunities and supporting individuals, agencies, and government organizations in submitting grants.</w:t>
            </w:r>
          </w:p>
          <w:p w14:paraId="433FCEC1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A2DA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Affordable housing grant team</w:t>
            </w:r>
          </w:p>
          <w:p w14:paraId="47D3256A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3166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Q2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D107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&amp; or/ volunteer time</w:t>
            </w:r>
          </w:p>
          <w:p w14:paraId="3B2DAB25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  <w:p w14:paraId="620B8DB8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Technology supports including software and other data management tools</w:t>
            </w:r>
          </w:p>
        </w:tc>
      </w:tr>
      <w:tr w:rsidR="00E45057" w14:paraId="75F06017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AFA1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Support grantees in implementation of programming as needed.</w:t>
            </w:r>
          </w:p>
          <w:p w14:paraId="46A68AA1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25D7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Affordable housing grant team</w:t>
            </w:r>
          </w:p>
          <w:p w14:paraId="58B5A3C3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5704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Ongoing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12DE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&amp; or/ volunteer time</w:t>
            </w:r>
          </w:p>
          <w:p w14:paraId="38537D08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B443E2" w14:paraId="721E0311" w14:textId="77777777" w:rsidTr="00D6616B">
        <w:trPr>
          <w:trHeight w:val="73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90E3" w14:textId="6267B4E9" w:rsidR="00B443E2" w:rsidRPr="00B443E2" w:rsidRDefault="00B443E2" w:rsidP="00B443E2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 w:rsidRPr="00B443E2">
              <w:rPr>
                <w:rFonts w:ascii="Roboto" w:hAnsi="Roboto"/>
                <w:b/>
                <w:bCs/>
              </w:rPr>
              <w:t>Planned Strategy 9:   Develop plan for ongoing community engagement to support affordable housing efforts</w:t>
            </w:r>
          </w:p>
        </w:tc>
      </w:tr>
      <w:tr w:rsidR="00E45057" w14:paraId="49219E67" w14:textId="77777777" w:rsidTr="00370C27">
        <w:trPr>
          <w:trHeight w:val="70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A2A2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9: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D347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2E00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A7C5C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E45057" w14:paraId="45C58E14" w14:textId="77777777" w:rsidTr="00B443E2">
        <w:trPr>
          <w:trHeight w:val="27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6AC1D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</w:tr>
      <w:tr w:rsidR="00E45057" w14:paraId="2BF7C1B7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8249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bCs/>
                <w:sz w:val="20"/>
                <w:szCs w:val="20"/>
              </w:rPr>
              <w:t>Plan and arrange at least 2 different community engagement meetings.</w:t>
            </w:r>
          </w:p>
          <w:p w14:paraId="60DB0F5F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bCs/>
                <w:sz w:val="20"/>
                <w:szCs w:val="20"/>
              </w:rPr>
              <w:t>Aim to draw more than 100 community members who are new to the issue of affordable housing.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9C15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Affordable Housing 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Workgroup  subcommittee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</w:rPr>
              <w:t xml:space="preserve"> interested in panel and community engagement presentation and facilitation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B308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Q1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23F35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Library resources,</w:t>
            </w:r>
          </w:p>
          <w:p w14:paraId="79BF8D1F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Would be good to involve 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AHAB</w:t>
            </w:r>
            <w:proofErr w:type="gramEnd"/>
          </w:p>
          <w:p w14:paraId="4495D94B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Civic organizations and clubs</w:t>
            </w:r>
          </w:p>
          <w:p w14:paraId="43BDF5FA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Neighborhood associations</w:t>
            </w:r>
          </w:p>
          <w:p w14:paraId="69924897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Human Service agencies and stakeholders on panels and to function as facilitators</w:t>
            </w:r>
          </w:p>
        </w:tc>
      </w:tr>
      <w:tr w:rsidR="00E45057" w14:paraId="153E2B72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62CB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bCs/>
                <w:sz w:val="20"/>
                <w:szCs w:val="20"/>
              </w:rPr>
              <w:t xml:space="preserve">Get commitment from Local Human Service Providers to give PR for events </w:t>
            </w:r>
            <w:proofErr w:type="gramStart"/>
            <w:r>
              <w:rPr>
                <w:rFonts w:ascii="Roboto" w:eastAsia="Roboto" w:hAnsi="Roboto" w:cs="Roboto"/>
                <w:bCs/>
                <w:sz w:val="20"/>
                <w:szCs w:val="20"/>
              </w:rPr>
              <w:t>and  help</w:t>
            </w:r>
            <w:proofErr w:type="gramEnd"/>
            <w:r>
              <w:rPr>
                <w:rFonts w:ascii="Roboto" w:eastAsia="Roboto" w:hAnsi="Roboto" w:cs="Roboto"/>
                <w:bCs/>
                <w:sz w:val="20"/>
                <w:szCs w:val="20"/>
              </w:rPr>
              <w:t xml:space="preserve"> tell the story about issues surrounding Affordable housing, through newsletters and social media and any other communication tools routinely used by providers</w:t>
            </w:r>
          </w:p>
          <w:p w14:paraId="610DF35D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2D05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Affordable Housing 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Workgroup  subcommittee</w:t>
            </w:r>
            <w:proofErr w:type="gramEnd"/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0AC8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Q2 2023 Commitment by providers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7F23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E45057" w14:paraId="47448788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8411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bCs/>
                <w:sz w:val="20"/>
                <w:szCs w:val="20"/>
              </w:rPr>
              <w:t xml:space="preserve">Secure a local volunteer to lead PR promotions of affordable housing issues and </w:t>
            </w:r>
            <w:proofErr w:type="gramStart"/>
            <w:r>
              <w:rPr>
                <w:rFonts w:ascii="Roboto" w:eastAsia="Roboto" w:hAnsi="Roboto" w:cs="Roboto"/>
                <w:bCs/>
                <w:sz w:val="20"/>
                <w:szCs w:val="20"/>
              </w:rPr>
              <w:t>events</w:t>
            </w:r>
            <w:proofErr w:type="gramEnd"/>
          </w:p>
          <w:p w14:paraId="0D7836E0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F9C7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Affordable Housing 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Workgroup  subcommittee</w:t>
            </w:r>
            <w:proofErr w:type="gramEnd"/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2F4A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Secure volunteer by Q2 2023</w:t>
            </w:r>
          </w:p>
          <w:p w14:paraId="76572E94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D7FC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Funds for print and other outreach materials</w:t>
            </w:r>
          </w:p>
        </w:tc>
      </w:tr>
      <w:tr w:rsidR="00E45057" w14:paraId="2DEF1535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53F5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bCs/>
                <w:sz w:val="20"/>
                <w:szCs w:val="20"/>
              </w:rPr>
              <w:lastRenderedPageBreak/>
              <w:t>For subsequent years, plan for at least 1 annual community engagement affordable housing meeting.</w:t>
            </w:r>
          </w:p>
          <w:p w14:paraId="2C71B8E5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E955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Affordable Housing 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Workgroup  subcommittee</w:t>
            </w:r>
            <w:proofErr w:type="gramEnd"/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27F1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Ongoing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F5A8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B443E2" w14:paraId="3D1A87CD" w14:textId="77777777" w:rsidTr="00D6616B">
        <w:trPr>
          <w:trHeight w:val="485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3470" w14:textId="13CAB2A9" w:rsidR="00B443E2" w:rsidRPr="00B443E2" w:rsidRDefault="00B443E2" w:rsidP="00B443E2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 w:rsidRPr="00B443E2">
              <w:rPr>
                <w:rFonts w:ascii="Roboto" w:hAnsi="Roboto"/>
                <w:b/>
                <w:bCs/>
              </w:rPr>
              <w:t>Planned Strategy 10:   Develop 10-year Community Housing Plan</w:t>
            </w:r>
          </w:p>
        </w:tc>
      </w:tr>
      <w:tr w:rsidR="00E45057" w14:paraId="6F421564" w14:textId="77777777" w:rsidTr="00370C27">
        <w:trPr>
          <w:trHeight w:val="70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9884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10: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E003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A7AF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AC12F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E45057" w14:paraId="6B2B5B52" w14:textId="77777777" w:rsidTr="00B443E2">
        <w:trPr>
          <w:trHeight w:val="27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9E0E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</w:tr>
      <w:tr w:rsidR="00E45057" w14:paraId="5D964B46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9A1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Do updated housing </w:t>
            </w:r>
            <w:proofErr w:type="gramStart"/>
            <w:r>
              <w:rPr>
                <w:rFonts w:ascii="Roboto" w:hAnsi="Roboto"/>
                <w:bCs/>
                <w:sz w:val="20"/>
                <w:szCs w:val="20"/>
              </w:rPr>
              <w:t>assessment</w:t>
            </w:r>
            <w:proofErr w:type="gramEnd"/>
          </w:p>
          <w:p w14:paraId="3E24949B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E689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Affordable Housing Workgroup &amp; Consultant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E2A6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Q2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8BBB9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Funds for consultants and assessments</w:t>
            </w:r>
          </w:p>
        </w:tc>
      </w:tr>
      <w:tr w:rsidR="00E45057" w14:paraId="452ACA82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9691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Create and recommend schedule for ongoing housing </w:t>
            </w:r>
            <w:proofErr w:type="gramStart"/>
            <w:r>
              <w:rPr>
                <w:rFonts w:ascii="Roboto" w:hAnsi="Roboto"/>
                <w:bCs/>
                <w:sz w:val="20"/>
                <w:szCs w:val="20"/>
              </w:rPr>
              <w:t>assessments</w:t>
            </w:r>
            <w:proofErr w:type="gramEnd"/>
          </w:p>
          <w:p w14:paraId="4EE72638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219D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Affordable Housing Workgroup &amp; Consultant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053C3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Q2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1D82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 /or volunteer time</w:t>
            </w:r>
          </w:p>
        </w:tc>
      </w:tr>
      <w:tr w:rsidR="00E45057" w14:paraId="301D9FAB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C59B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Identify group to lead updated 10-year </w:t>
            </w:r>
            <w:proofErr w:type="gramStart"/>
            <w:r>
              <w:rPr>
                <w:rFonts w:ascii="Roboto" w:hAnsi="Roboto"/>
                <w:bCs/>
                <w:sz w:val="20"/>
                <w:szCs w:val="20"/>
              </w:rPr>
              <w:t>plan</w:t>
            </w:r>
            <w:proofErr w:type="gramEnd"/>
          </w:p>
          <w:p w14:paraId="60547FC2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1503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Affordable Housing Workgroup &amp; Consultant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DE44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Q3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BD029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 /or volunteer time</w:t>
            </w:r>
          </w:p>
        </w:tc>
      </w:tr>
      <w:tr w:rsidR="00E45057" w14:paraId="743F15C1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36BD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Create action steps and timeline for new </w:t>
            </w:r>
            <w:proofErr w:type="gramStart"/>
            <w:r>
              <w:rPr>
                <w:rFonts w:ascii="Roboto" w:hAnsi="Roboto"/>
                <w:bCs/>
                <w:sz w:val="20"/>
                <w:szCs w:val="20"/>
              </w:rPr>
              <w:t>plan</w:t>
            </w:r>
            <w:proofErr w:type="gramEnd"/>
          </w:p>
          <w:p w14:paraId="73D7E5C5" w14:textId="77777777" w:rsidR="00E45057" w:rsidRDefault="00E45057" w:rsidP="00E45057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B32C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Affordable Housing Workgroup &amp; Consultant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47B84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Q3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83AB" w14:textId="77777777" w:rsidR="00E45057" w:rsidRDefault="00E45057" w:rsidP="00E45057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 /or volunteer time</w:t>
            </w:r>
          </w:p>
        </w:tc>
      </w:tr>
      <w:tr w:rsidR="00B443E2" w14:paraId="72E06A02" w14:textId="77777777" w:rsidTr="00D6616B">
        <w:trPr>
          <w:trHeight w:val="674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ABD2" w14:textId="4F8BBE3D" w:rsidR="00D6616B" w:rsidRPr="00D6616B" w:rsidRDefault="00B443E2" w:rsidP="00D6616B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</w:rPr>
            </w:pPr>
            <w:r w:rsidRPr="00B443E2">
              <w:rPr>
                <w:rFonts w:ascii="Roboto" w:hAnsi="Roboto"/>
                <w:b/>
                <w:bCs/>
              </w:rPr>
              <w:t>Planned Strategy 1</w:t>
            </w:r>
            <w:r>
              <w:rPr>
                <w:rFonts w:ascii="Roboto" w:hAnsi="Roboto"/>
                <w:b/>
                <w:bCs/>
              </w:rPr>
              <w:t>1</w:t>
            </w:r>
            <w:r w:rsidRPr="00B443E2">
              <w:rPr>
                <w:rFonts w:ascii="Roboto" w:hAnsi="Roboto"/>
                <w:b/>
                <w:bCs/>
              </w:rPr>
              <w:t xml:space="preserve">:   </w:t>
            </w:r>
            <w:r w:rsidR="00D6616B">
              <w:rPr>
                <w:rFonts w:ascii="Roboto" w:hAnsi="Roboto"/>
                <w:b/>
                <w:bCs/>
              </w:rPr>
              <w:t>Create permanent and sustainable diversified funding sources for the Affordable Housing Trust Fund</w:t>
            </w:r>
          </w:p>
        </w:tc>
      </w:tr>
      <w:tr w:rsidR="00B443E2" w14:paraId="750068B8" w14:textId="77777777" w:rsidTr="00D6616B">
        <w:trPr>
          <w:trHeight w:val="70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BCF3" w14:textId="739DD777" w:rsidR="00B443E2" w:rsidRDefault="00B443E2" w:rsidP="00C12616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1</w:t>
            </w:r>
            <w:r w:rsidR="00D6616B">
              <w:rPr>
                <w:rFonts w:ascii="Roboto" w:hAnsi="Roboto"/>
                <w:b/>
                <w:bCs/>
                <w:sz w:val="20"/>
                <w:szCs w:val="20"/>
              </w:rPr>
              <w:t>1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713F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555D9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6F79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B443E2" w14:paraId="3EA10529" w14:textId="77777777" w:rsidTr="00C12616">
        <w:trPr>
          <w:trHeight w:val="27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4D1C" w14:textId="77777777" w:rsidR="00B443E2" w:rsidRDefault="00B443E2" w:rsidP="00C12616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</w:tr>
      <w:tr w:rsidR="00B443E2" w14:paraId="125775DA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8704" w14:textId="64BB0FAB" w:rsidR="00B443E2" w:rsidRDefault="00D6616B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TBD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E4D11" w14:textId="767F2DD1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49E4" w14:textId="1756C2E3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5298" w14:textId="0F6E58F1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</w:tr>
      <w:tr w:rsidR="00B443E2" w14:paraId="0CB86920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B733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2487" w14:textId="11EC1D78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1267" w14:textId="5B9C300C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DE92" w14:textId="45EE2207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</w:tr>
      <w:tr w:rsidR="00B443E2" w14:paraId="3E186B2A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3A83" w14:textId="062DD4E4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5E4C" w14:textId="4DA35025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77FB" w14:textId="69D28E20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ACA1" w14:textId="1114E645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</w:tr>
      <w:tr w:rsidR="00B443E2" w14:paraId="62EAFF6F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D71E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7D08" w14:textId="4C46B17F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5B4C" w14:textId="4D47885A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3FB5" w14:textId="274CEDB2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</w:tr>
      <w:tr w:rsidR="00B443E2" w14:paraId="40664F60" w14:textId="77777777" w:rsidTr="00D6616B">
        <w:trPr>
          <w:trHeight w:val="73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28C0" w14:textId="1484B93B" w:rsidR="00B443E2" w:rsidRP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 w:rsidRPr="00B443E2">
              <w:rPr>
                <w:rFonts w:ascii="Roboto" w:hAnsi="Roboto"/>
                <w:b/>
                <w:bCs/>
              </w:rPr>
              <w:t>Planned Strategy 1</w:t>
            </w:r>
            <w:r w:rsidR="00D6616B">
              <w:rPr>
                <w:rFonts w:ascii="Roboto" w:hAnsi="Roboto"/>
                <w:b/>
                <w:bCs/>
              </w:rPr>
              <w:t>2</w:t>
            </w:r>
            <w:r w:rsidRPr="00B443E2">
              <w:rPr>
                <w:rFonts w:ascii="Roboto" w:hAnsi="Roboto"/>
                <w:b/>
                <w:bCs/>
              </w:rPr>
              <w:t xml:space="preserve">:   </w:t>
            </w:r>
            <w:r w:rsidR="00D6616B">
              <w:rPr>
                <w:rFonts w:ascii="Roboto" w:hAnsi="Roboto"/>
                <w:b/>
                <w:bCs/>
              </w:rPr>
              <w:t xml:space="preserve">Develop targeted programs that increase racial equity in affordable housing access, and home and land ownership for Black, Indigenous People of Color experiencing housing disparities </w:t>
            </w:r>
          </w:p>
        </w:tc>
      </w:tr>
      <w:tr w:rsidR="00B443E2" w14:paraId="7A01F5DA" w14:textId="77777777" w:rsidTr="00C12616">
        <w:trPr>
          <w:trHeight w:val="70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F902" w14:textId="40EDE031" w:rsidR="00B443E2" w:rsidRDefault="00B443E2" w:rsidP="00C12616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1</w:t>
            </w:r>
            <w:r w:rsidR="00D6616B">
              <w:rPr>
                <w:rFonts w:ascii="Roboto" w:hAnsi="Roboto"/>
                <w:b/>
                <w:bCs/>
                <w:sz w:val="20"/>
                <w:szCs w:val="20"/>
              </w:rPr>
              <w:t>2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0811F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62900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FBB50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B443E2" w14:paraId="4AB91437" w14:textId="77777777" w:rsidTr="00C12616">
        <w:trPr>
          <w:trHeight w:val="27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ADE6" w14:textId="77777777" w:rsidR="00B443E2" w:rsidRDefault="00B443E2" w:rsidP="00C12616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</w:tr>
      <w:tr w:rsidR="00B443E2" w14:paraId="1CD50E8B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3F78A" w14:textId="7754FA25" w:rsidR="00B443E2" w:rsidRDefault="00D6616B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TBD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3B8E" w14:textId="58E9CF97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88EE" w14:textId="299875BE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0434" w14:textId="00BE8F9F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</w:tr>
      <w:tr w:rsidR="00B443E2" w14:paraId="1ADB4D81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C591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33AD" w14:textId="1EF3CA2E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522E" w14:textId="652D8929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A2D9" w14:textId="1EA61983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</w:tr>
      <w:tr w:rsidR="00B443E2" w14:paraId="132EDBEE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0587" w14:textId="1210B046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CF53" w14:textId="20E8B402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A7B2" w14:textId="28A018EB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644F" w14:textId="2171DFB6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</w:tr>
      <w:tr w:rsidR="00B443E2" w14:paraId="7CDDC601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CE7D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5466" w14:textId="072822D0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8F5D" w14:textId="3849ED7A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D978" w14:textId="2547385C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</w:tr>
      <w:tr w:rsidR="00B443E2" w14:paraId="5FBF68BC" w14:textId="77777777" w:rsidTr="00861201">
        <w:trPr>
          <w:trHeight w:val="73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2067A" w14:textId="0C04E164" w:rsidR="00B443E2" w:rsidRP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 w:rsidRPr="00B443E2">
              <w:rPr>
                <w:rFonts w:ascii="Roboto" w:hAnsi="Roboto"/>
                <w:b/>
                <w:bCs/>
              </w:rPr>
              <w:t>Planned Strategy 1</w:t>
            </w:r>
            <w:r w:rsidR="00D6616B">
              <w:rPr>
                <w:rFonts w:ascii="Roboto" w:hAnsi="Roboto"/>
                <w:b/>
                <w:bCs/>
              </w:rPr>
              <w:t>3</w:t>
            </w:r>
            <w:r w:rsidRPr="00B443E2">
              <w:rPr>
                <w:rFonts w:ascii="Roboto" w:hAnsi="Roboto"/>
                <w:b/>
                <w:bCs/>
              </w:rPr>
              <w:t xml:space="preserve">:  </w:t>
            </w:r>
            <w:r w:rsidR="00861201">
              <w:rPr>
                <w:rFonts w:ascii="Roboto" w:hAnsi="Roboto"/>
                <w:b/>
                <w:bCs/>
              </w:rPr>
              <w:t>Create increased opportunities for community ownership of land and property for low-income community members</w:t>
            </w:r>
          </w:p>
        </w:tc>
      </w:tr>
      <w:tr w:rsidR="00B443E2" w14:paraId="283B0047" w14:textId="77777777" w:rsidTr="00C12616">
        <w:trPr>
          <w:trHeight w:val="70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DC26" w14:textId="35C72D0D" w:rsidR="00B443E2" w:rsidRDefault="00B443E2" w:rsidP="00C12616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1</w:t>
            </w:r>
            <w:r w:rsidR="00D6616B">
              <w:rPr>
                <w:rFonts w:ascii="Roboto" w:hAnsi="Roboto"/>
                <w:b/>
                <w:bCs/>
                <w:sz w:val="20"/>
                <w:szCs w:val="20"/>
              </w:rPr>
              <w:t>3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6E34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96E8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3034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B443E2" w14:paraId="0FF3F68D" w14:textId="77777777" w:rsidTr="00C12616">
        <w:trPr>
          <w:trHeight w:val="27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5EE8" w14:textId="77777777" w:rsidR="00B443E2" w:rsidRDefault="00B443E2" w:rsidP="00C12616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</w:tr>
      <w:tr w:rsidR="00B443E2" w14:paraId="73A28738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CCA2" w14:textId="301392BC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20AA" w14:textId="27737ABC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61458" w14:textId="145BF931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2DBE" w14:textId="7A93D4E9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</w:tr>
      <w:tr w:rsidR="00B443E2" w14:paraId="74282CAA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61F0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EBA2" w14:textId="7F3083BB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8F93" w14:textId="381E585C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DF8F" w14:textId="721C05FB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</w:tr>
      <w:tr w:rsidR="00B443E2" w14:paraId="4CE2B7E1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1F6D" w14:textId="1D7932B2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900A" w14:textId="0FF22D95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7146" w14:textId="3612F29C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799F" w14:textId="5C0B3C3E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</w:tr>
      <w:tr w:rsidR="00B443E2" w14:paraId="577F780F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8429C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1C16" w14:textId="0100DBBB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416D" w14:textId="3FB795F6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A65F" w14:textId="4D9A9E4C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</w:tr>
      <w:tr w:rsidR="00B443E2" w14:paraId="5BE26E4D" w14:textId="77777777" w:rsidTr="00861201">
        <w:trPr>
          <w:trHeight w:val="980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767D" w14:textId="5348D07E" w:rsidR="00B443E2" w:rsidRP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 w:rsidRPr="00B443E2">
              <w:rPr>
                <w:rFonts w:ascii="Roboto" w:hAnsi="Roboto"/>
                <w:b/>
                <w:bCs/>
              </w:rPr>
              <w:t>Planned Strategy 1</w:t>
            </w:r>
            <w:r w:rsidR="00B3371B">
              <w:rPr>
                <w:rFonts w:ascii="Roboto" w:hAnsi="Roboto"/>
                <w:b/>
                <w:bCs/>
              </w:rPr>
              <w:t>4</w:t>
            </w:r>
            <w:r w:rsidRPr="00B443E2">
              <w:rPr>
                <w:rFonts w:ascii="Roboto" w:hAnsi="Roboto"/>
                <w:b/>
                <w:bCs/>
              </w:rPr>
              <w:t xml:space="preserve">:   </w:t>
            </w:r>
            <w:r w:rsidR="00861201">
              <w:rPr>
                <w:rFonts w:ascii="Roboto" w:hAnsi="Roboto"/>
                <w:b/>
                <w:bCs/>
              </w:rPr>
              <w:t xml:space="preserve">Increase community capacity for permanent affordable housing development by identifying and supporting an additional Community Housing Development Organization (CHODO) and Community Land </w:t>
            </w:r>
            <w:r w:rsidR="00AE7772">
              <w:rPr>
                <w:rFonts w:ascii="Roboto" w:hAnsi="Roboto"/>
                <w:b/>
                <w:bCs/>
              </w:rPr>
              <w:t xml:space="preserve">Trust </w:t>
            </w:r>
          </w:p>
        </w:tc>
      </w:tr>
      <w:tr w:rsidR="00B443E2" w14:paraId="25CC272C" w14:textId="77777777" w:rsidTr="00C12616">
        <w:trPr>
          <w:trHeight w:val="70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7876" w14:textId="522ACD7B" w:rsidR="00B443E2" w:rsidRDefault="00B443E2" w:rsidP="00C12616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lastRenderedPageBreak/>
              <w:t xml:space="preserve">Action Steps for Strategy </w:t>
            </w:r>
            <w:r w:rsidR="00D6616B">
              <w:rPr>
                <w:rFonts w:ascii="Roboto" w:hAnsi="Roboto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FFD56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6CE78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9FBF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B443E2" w14:paraId="51A26D23" w14:textId="77777777" w:rsidTr="00C12616">
        <w:trPr>
          <w:trHeight w:val="27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9316" w14:textId="77777777" w:rsidR="00B443E2" w:rsidRDefault="00B443E2" w:rsidP="00C12616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</w:tr>
      <w:tr w:rsidR="00B443E2" w14:paraId="2CC5C19A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695C" w14:textId="1F34EFD6" w:rsidR="00B443E2" w:rsidRDefault="00D6616B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TBD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DDFE" w14:textId="330F4923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F1E95" w14:textId="0356C6A5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14A4" w14:textId="2C3B8B2B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</w:tr>
      <w:tr w:rsidR="00B443E2" w14:paraId="2C0E19DB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A1123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06061" w14:textId="2441AFA8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3C09" w14:textId="573B97F6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F418" w14:textId="0D5A2B4B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</w:tr>
      <w:tr w:rsidR="00B443E2" w14:paraId="3F637302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0957" w14:textId="34AE364E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2D51" w14:textId="0F71F24E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D46AD" w14:textId="21BA9EFC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D5B47" w14:textId="53849E52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</w:tr>
      <w:tr w:rsidR="00B443E2" w14:paraId="79438F1C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1B76" w14:textId="77777777" w:rsidR="00B443E2" w:rsidRDefault="00B443E2" w:rsidP="00C1261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656A" w14:textId="58A9A9B2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94C3" w14:textId="599C34FD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BD0E" w14:textId="1A661765" w:rsidR="00B443E2" w:rsidRDefault="00B443E2" w:rsidP="00C12616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360B54FF" w14:textId="17236F52" w:rsidR="00475355" w:rsidRDefault="00000000"/>
    <w:sectPr w:rsidR="00475355" w:rsidSect="00CA09D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8303" w14:textId="77777777" w:rsidR="00CC151F" w:rsidRDefault="00CC151F" w:rsidP="009C6E63">
      <w:r>
        <w:separator/>
      </w:r>
    </w:p>
  </w:endnote>
  <w:endnote w:type="continuationSeparator" w:id="0">
    <w:p w14:paraId="749FCDB7" w14:textId="77777777" w:rsidR="00CC151F" w:rsidRDefault="00CC151F" w:rsidP="009C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7573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F98E9" w14:textId="6899B55A" w:rsidR="009C6E63" w:rsidRDefault="009C6E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690BA" w14:textId="77777777" w:rsidR="009C6E63" w:rsidRDefault="009C6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4A5E0" w14:textId="77777777" w:rsidR="00CC151F" w:rsidRDefault="00CC151F" w:rsidP="009C6E63">
      <w:r>
        <w:separator/>
      </w:r>
    </w:p>
  </w:footnote>
  <w:footnote w:type="continuationSeparator" w:id="0">
    <w:p w14:paraId="12B5EEE9" w14:textId="77777777" w:rsidR="00CC151F" w:rsidRDefault="00CC151F" w:rsidP="009C6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4650A"/>
    <w:multiLevelType w:val="multilevel"/>
    <w:tmpl w:val="1D4C725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4CD2473"/>
    <w:multiLevelType w:val="hybridMultilevel"/>
    <w:tmpl w:val="241A41C2"/>
    <w:lvl w:ilvl="0" w:tplc="52E476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A2A04"/>
    <w:multiLevelType w:val="hybridMultilevel"/>
    <w:tmpl w:val="A1942FD6"/>
    <w:lvl w:ilvl="0" w:tplc="269A544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A765B"/>
    <w:multiLevelType w:val="multilevel"/>
    <w:tmpl w:val="908A95A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5CDD43D6"/>
    <w:multiLevelType w:val="multilevel"/>
    <w:tmpl w:val="51662FB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62AE660B"/>
    <w:multiLevelType w:val="multilevel"/>
    <w:tmpl w:val="12E2A796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795056C1"/>
    <w:multiLevelType w:val="multilevel"/>
    <w:tmpl w:val="00FC281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498932">
    <w:abstractNumId w:val="5"/>
  </w:num>
  <w:num w:numId="2" w16cid:durableId="1258827234">
    <w:abstractNumId w:val="3"/>
  </w:num>
  <w:num w:numId="3" w16cid:durableId="81221422">
    <w:abstractNumId w:val="0"/>
  </w:num>
  <w:num w:numId="4" w16cid:durableId="1415321596">
    <w:abstractNumId w:val="4"/>
  </w:num>
  <w:num w:numId="5" w16cid:durableId="1319772133">
    <w:abstractNumId w:val="6"/>
  </w:num>
  <w:num w:numId="6" w16cid:durableId="732241859">
    <w:abstractNumId w:val="6"/>
    <w:lvlOverride w:ilvl="0">
      <w:startOverride w:val="1"/>
    </w:lvlOverride>
  </w:num>
  <w:num w:numId="7" w16cid:durableId="681279033">
    <w:abstractNumId w:val="2"/>
  </w:num>
  <w:num w:numId="8" w16cid:durableId="638657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D0"/>
    <w:rsid w:val="0002210E"/>
    <w:rsid w:val="000A3F15"/>
    <w:rsid w:val="00122C9D"/>
    <w:rsid w:val="001314E1"/>
    <w:rsid w:val="001A59B7"/>
    <w:rsid w:val="001C389A"/>
    <w:rsid w:val="001F40D6"/>
    <w:rsid w:val="0020225E"/>
    <w:rsid w:val="002A1562"/>
    <w:rsid w:val="002C0F46"/>
    <w:rsid w:val="002D4F99"/>
    <w:rsid w:val="003264BA"/>
    <w:rsid w:val="0036424B"/>
    <w:rsid w:val="00370C27"/>
    <w:rsid w:val="003D34C0"/>
    <w:rsid w:val="003D4980"/>
    <w:rsid w:val="003F5F23"/>
    <w:rsid w:val="004234A4"/>
    <w:rsid w:val="004444CA"/>
    <w:rsid w:val="004632C3"/>
    <w:rsid w:val="00466579"/>
    <w:rsid w:val="0049252B"/>
    <w:rsid w:val="004A2596"/>
    <w:rsid w:val="004D23DE"/>
    <w:rsid w:val="0056285F"/>
    <w:rsid w:val="006806CD"/>
    <w:rsid w:val="00690297"/>
    <w:rsid w:val="006A31ED"/>
    <w:rsid w:val="00785DBD"/>
    <w:rsid w:val="00807E49"/>
    <w:rsid w:val="00861201"/>
    <w:rsid w:val="00884FBD"/>
    <w:rsid w:val="008B4526"/>
    <w:rsid w:val="008F7EBC"/>
    <w:rsid w:val="00931FF3"/>
    <w:rsid w:val="00947A14"/>
    <w:rsid w:val="009B50BB"/>
    <w:rsid w:val="009C6E63"/>
    <w:rsid w:val="00A31198"/>
    <w:rsid w:val="00AE7772"/>
    <w:rsid w:val="00B3371B"/>
    <w:rsid w:val="00B443E2"/>
    <w:rsid w:val="00B710BC"/>
    <w:rsid w:val="00B852F5"/>
    <w:rsid w:val="00BC7ED8"/>
    <w:rsid w:val="00C1480B"/>
    <w:rsid w:val="00C4148D"/>
    <w:rsid w:val="00C61D18"/>
    <w:rsid w:val="00CA09D0"/>
    <w:rsid w:val="00CC151F"/>
    <w:rsid w:val="00CE4723"/>
    <w:rsid w:val="00D12F97"/>
    <w:rsid w:val="00D22140"/>
    <w:rsid w:val="00D6616B"/>
    <w:rsid w:val="00DD5154"/>
    <w:rsid w:val="00DE0A07"/>
    <w:rsid w:val="00E1570A"/>
    <w:rsid w:val="00E45057"/>
    <w:rsid w:val="00E76FA1"/>
    <w:rsid w:val="00EB1D73"/>
    <w:rsid w:val="00EB543F"/>
    <w:rsid w:val="00F04A18"/>
    <w:rsid w:val="00F623F3"/>
    <w:rsid w:val="00FC2BB4"/>
    <w:rsid w:val="00FC4277"/>
    <w:rsid w:val="00FD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68CE"/>
  <w15:chartTrackingRefBased/>
  <w15:docId w15:val="{ACFFFFE5-B4B3-4D02-B6B4-4CD7F104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A09D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A09D0"/>
    <w:pPr>
      <w:suppressAutoHyphens/>
      <w:autoSpaceDN w:val="0"/>
      <w:spacing w:line="251" w:lineRule="auto"/>
      <w:textAlignment w:val="baseline"/>
    </w:pPr>
    <w:rPr>
      <w:rFonts w:ascii="Calibri" w:eastAsia="Calibri" w:hAnsi="Calibri" w:cs="F"/>
    </w:rPr>
  </w:style>
  <w:style w:type="paragraph" w:styleId="ListParagraph">
    <w:name w:val="List Paragraph"/>
    <w:basedOn w:val="Standard"/>
    <w:uiPriority w:val="34"/>
    <w:qFormat/>
    <w:rsid w:val="00CA09D0"/>
    <w:pPr>
      <w:ind w:left="720"/>
    </w:pPr>
  </w:style>
  <w:style w:type="numbering" w:customStyle="1" w:styleId="WWNum1">
    <w:name w:val="WWNum1"/>
    <w:basedOn w:val="NoList"/>
    <w:rsid w:val="00CA09D0"/>
    <w:pPr>
      <w:numPr>
        <w:numId w:val="1"/>
      </w:numPr>
    </w:pPr>
  </w:style>
  <w:style w:type="numbering" w:customStyle="1" w:styleId="WWNum2">
    <w:name w:val="WWNum2"/>
    <w:basedOn w:val="NoList"/>
    <w:rsid w:val="00CA09D0"/>
    <w:pPr>
      <w:numPr>
        <w:numId w:val="2"/>
      </w:numPr>
    </w:pPr>
  </w:style>
  <w:style w:type="numbering" w:customStyle="1" w:styleId="WWNum3">
    <w:name w:val="WWNum3"/>
    <w:basedOn w:val="NoList"/>
    <w:rsid w:val="00CA09D0"/>
    <w:pPr>
      <w:numPr>
        <w:numId w:val="3"/>
      </w:numPr>
    </w:pPr>
  </w:style>
  <w:style w:type="numbering" w:customStyle="1" w:styleId="WWNum4">
    <w:name w:val="WWNum4"/>
    <w:basedOn w:val="NoList"/>
    <w:rsid w:val="00CA09D0"/>
    <w:pPr>
      <w:numPr>
        <w:numId w:val="4"/>
      </w:numPr>
    </w:pPr>
  </w:style>
  <w:style w:type="numbering" w:customStyle="1" w:styleId="WWNum10">
    <w:name w:val="WWNum10"/>
    <w:basedOn w:val="NoList"/>
    <w:rsid w:val="00CA09D0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9C6E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E63"/>
    <w:rPr>
      <w:rFonts w:ascii="Calibri" w:eastAsia="Calibri" w:hAnsi="Calibri" w:cs="F"/>
    </w:rPr>
  </w:style>
  <w:style w:type="paragraph" w:styleId="Footer">
    <w:name w:val="footer"/>
    <w:basedOn w:val="Normal"/>
    <w:link w:val="FooterChar"/>
    <w:uiPriority w:val="99"/>
    <w:unhideWhenUsed/>
    <w:rsid w:val="009C6E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E63"/>
    <w:rPr>
      <w:rFonts w:ascii="Calibri" w:eastAsia="Calibri" w:hAnsi="Calibri" w:cs="F"/>
    </w:rPr>
  </w:style>
  <w:style w:type="character" w:styleId="Hyperlink">
    <w:name w:val="Hyperlink"/>
    <w:basedOn w:val="DefaultParagraphFont"/>
    <w:uiPriority w:val="99"/>
    <w:unhideWhenUsed/>
    <w:rsid w:val="00785D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8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6BA84-B652-493A-B6EF-E4110A7B6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57475-B495-4359-A0CC-BA4B02B7D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2072</Words>
  <Characters>11811</Characters>
  <Application>Microsoft Office Word</Application>
  <DocSecurity>0</DocSecurity>
  <Lines>98</Lines>
  <Paragraphs>27</Paragraphs>
  <ScaleCrop>false</ScaleCrop>
  <Company>Douglas County Kansas</Company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- deVries Jolicoeur, Jill</dc:creator>
  <cp:keywords/>
  <dc:description/>
  <cp:lastModifiedBy>Gabrielle Sprague</cp:lastModifiedBy>
  <cp:revision>20</cp:revision>
  <dcterms:created xsi:type="dcterms:W3CDTF">2023-06-08T19:52:00Z</dcterms:created>
  <dcterms:modified xsi:type="dcterms:W3CDTF">2023-06-22T15:10:00Z</dcterms:modified>
</cp:coreProperties>
</file>